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 xml:space="preserve">Obblighi informativi per le erogazioni pubbliche: gli aiuti di Stato e gli aiuti de </w:t>
      </w:r>
      <w:proofErr w:type="spellStart"/>
      <w:r>
        <w:t>minimis</w:t>
      </w:r>
      <w:proofErr w:type="spellEnd"/>
      <w:r>
        <w:t xml:space="preserve"> ricevuti dalla nostra impresa sono contenuti nel Registro nazionale degli aiuti di Stato di cui all’art. 52 della L. 234/2012” e consultabili al seguente link https://www.rna.gov.it/RegistroNazionaleTrasparenza/faces/pages/TrasparenzaAiuto.jspx ed inserendo il codice fiscale _______________</w:t>
      </w:r>
      <w:proofErr w:type="gramStart"/>
      <w:r>
        <w:t>_  nel</w:t>
      </w:r>
      <w:proofErr w:type="gramEnd"/>
      <w:r>
        <w:t xml:space="preserve"> campo di ricerca”</w:t>
      </w:r>
      <w:bookmarkStart w:id="0" w:name="_GoBack"/>
      <w:bookmarkEnd w:id="0"/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2694-08AC-4086-A9C3-EEB0688A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2</cp:revision>
  <dcterms:created xsi:type="dcterms:W3CDTF">2022-06-21T07:25:00Z</dcterms:created>
  <dcterms:modified xsi:type="dcterms:W3CDTF">2022-06-22T10:22:00Z</dcterms:modified>
</cp:coreProperties>
</file>